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4D" w:rsidRDefault="00FC0F4D" w:rsidP="00DE32E5">
      <w:pPr>
        <w:rPr>
          <w:rFonts w:asciiTheme="minorHAnsi" w:hAnsiTheme="minorHAnsi"/>
          <w:sz w:val="22"/>
          <w:szCs w:val="22"/>
        </w:rPr>
      </w:pPr>
      <w:r w:rsidRPr="00FC0F4D">
        <w:rPr>
          <w:rFonts w:asciiTheme="minorHAnsi" w:hAnsiTheme="minorHAnsi"/>
          <w:b/>
          <w:sz w:val="22"/>
          <w:szCs w:val="22"/>
          <w:u w:val="single"/>
        </w:rPr>
        <w:t>In-class Activity 1</w:t>
      </w:r>
      <w:r>
        <w:rPr>
          <w:rFonts w:asciiTheme="minorHAnsi" w:hAnsiTheme="minorHAnsi"/>
          <w:b/>
          <w:sz w:val="22"/>
          <w:szCs w:val="22"/>
          <w:u w:val="single"/>
        </w:rPr>
        <w:t>:</w:t>
      </w:r>
      <w:r w:rsidRPr="00FC0F4D">
        <w:rPr>
          <w:rFonts w:asciiTheme="minorHAnsi" w:hAnsiTheme="minorHAnsi"/>
          <w:b/>
          <w:sz w:val="22"/>
          <w:szCs w:val="22"/>
        </w:rPr>
        <w:t xml:space="preserve"> </w:t>
      </w:r>
      <w:r w:rsidR="00A73799" w:rsidRPr="00A73799">
        <w:rPr>
          <w:rFonts w:asciiTheme="minorHAnsi" w:hAnsiTheme="minorHAnsi"/>
          <w:sz w:val="22"/>
          <w:szCs w:val="22"/>
        </w:rPr>
        <w:t>A state DOT is considering three alternatives for improvement of a particular urban facility. The objectives are to improve travel speeds, increase safety and reduce operating costs for users. The annual dollar values of savings, as well as additional construction and maintenance costs for each alternative compare to Do-Nothing (DN) are given in the following table. If N = 50 years and I = 3%, determine the best alternative.</w:t>
      </w:r>
    </w:p>
    <w:p w:rsidR="00A73799" w:rsidRDefault="00A73799" w:rsidP="00DE32E5">
      <w:pPr>
        <w:rPr>
          <w:rFonts w:asciiTheme="minorHAnsi" w:hAnsiTheme="minorHAnsi"/>
          <w:sz w:val="22"/>
          <w:szCs w:val="22"/>
        </w:rPr>
      </w:pPr>
    </w:p>
    <w:tbl>
      <w:tblPr>
        <w:tblStyle w:val="TableGrid"/>
        <w:tblW w:w="4945" w:type="pct"/>
        <w:tblLook w:val="0600" w:firstRow="0" w:lastRow="0" w:firstColumn="0" w:lastColumn="0" w:noHBand="1" w:noVBand="1"/>
      </w:tblPr>
      <w:tblGrid>
        <w:gridCol w:w="1329"/>
        <w:gridCol w:w="1583"/>
        <w:gridCol w:w="1584"/>
        <w:gridCol w:w="1584"/>
        <w:gridCol w:w="1585"/>
        <w:gridCol w:w="1582"/>
      </w:tblGrid>
      <w:tr w:rsidR="00A73799" w:rsidRPr="00A73799" w:rsidTr="00A73799">
        <w:trPr>
          <w:trHeight w:val="512"/>
        </w:trPr>
        <w:tc>
          <w:tcPr>
            <w:tcW w:w="567" w:type="pct"/>
            <w:hideMark/>
          </w:tcPr>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Alt</w:t>
            </w:r>
            <w:r>
              <w:rPr>
                <w:rFonts w:asciiTheme="minorHAnsi" w:hAnsiTheme="minorHAnsi"/>
                <w:b/>
                <w:bCs/>
                <w:sz w:val="22"/>
                <w:szCs w:val="22"/>
              </w:rPr>
              <w:t>ernatives</w:t>
            </w:r>
          </w:p>
        </w:tc>
        <w:tc>
          <w:tcPr>
            <w:tcW w:w="886" w:type="pct"/>
            <w:hideMark/>
          </w:tcPr>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Construction</w:t>
            </w:r>
          </w:p>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cost</w:t>
            </w:r>
          </w:p>
        </w:tc>
        <w:tc>
          <w:tcPr>
            <w:tcW w:w="887" w:type="pct"/>
            <w:hideMark/>
          </w:tcPr>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Annual savings in crash costs</w:t>
            </w:r>
          </w:p>
        </w:tc>
        <w:tc>
          <w:tcPr>
            <w:tcW w:w="887" w:type="pct"/>
            <w:hideMark/>
          </w:tcPr>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Annual travel time benefits</w:t>
            </w:r>
          </w:p>
        </w:tc>
        <w:tc>
          <w:tcPr>
            <w:tcW w:w="887" w:type="pct"/>
            <w:hideMark/>
          </w:tcPr>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 xml:space="preserve">Annual </w:t>
            </w:r>
            <w:r w:rsidRPr="00A73799">
              <w:rPr>
                <w:rFonts w:asciiTheme="minorHAnsi" w:hAnsiTheme="minorHAnsi"/>
                <w:b/>
                <w:bCs/>
                <w:sz w:val="22"/>
                <w:szCs w:val="22"/>
              </w:rPr>
              <w:br/>
              <w:t>operating savings</w:t>
            </w:r>
          </w:p>
        </w:tc>
        <w:tc>
          <w:tcPr>
            <w:tcW w:w="885" w:type="pct"/>
            <w:hideMark/>
          </w:tcPr>
          <w:p w:rsidR="00A73799" w:rsidRPr="00A73799" w:rsidRDefault="00A73799" w:rsidP="00A73799">
            <w:pPr>
              <w:jc w:val="center"/>
              <w:rPr>
                <w:rFonts w:asciiTheme="minorHAnsi" w:hAnsiTheme="minorHAnsi"/>
                <w:b/>
                <w:sz w:val="22"/>
                <w:szCs w:val="22"/>
              </w:rPr>
            </w:pPr>
            <w:r w:rsidRPr="00A73799">
              <w:rPr>
                <w:rFonts w:asciiTheme="minorHAnsi" w:hAnsiTheme="minorHAnsi"/>
                <w:b/>
                <w:bCs/>
                <w:sz w:val="22"/>
                <w:szCs w:val="22"/>
              </w:rPr>
              <w:t>Annual additional maintenance costs</w:t>
            </w:r>
          </w:p>
        </w:tc>
      </w:tr>
      <w:tr w:rsidR="00A73799" w:rsidRPr="00A73799" w:rsidTr="00A73799">
        <w:trPr>
          <w:trHeight w:val="178"/>
        </w:trPr>
        <w:tc>
          <w:tcPr>
            <w:tcW w:w="567" w:type="pct"/>
            <w:hideMark/>
          </w:tcPr>
          <w:p w:rsidR="00A73799" w:rsidRPr="00A73799" w:rsidRDefault="00A73799" w:rsidP="00A73799">
            <w:pPr>
              <w:rPr>
                <w:rFonts w:asciiTheme="minorHAnsi" w:hAnsiTheme="minorHAnsi"/>
                <w:sz w:val="22"/>
                <w:szCs w:val="22"/>
              </w:rPr>
            </w:pPr>
            <w:r w:rsidRPr="00A73799">
              <w:rPr>
                <w:rFonts w:asciiTheme="minorHAnsi" w:hAnsiTheme="minorHAnsi"/>
                <w:bCs/>
                <w:sz w:val="22"/>
                <w:szCs w:val="22"/>
              </w:rPr>
              <w:t>I</w:t>
            </w:r>
          </w:p>
        </w:tc>
        <w:tc>
          <w:tcPr>
            <w:tcW w:w="886"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$185,000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$5,000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$3,000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$500 </w:t>
            </w:r>
          </w:p>
        </w:tc>
        <w:tc>
          <w:tcPr>
            <w:tcW w:w="885"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$1,500 </w:t>
            </w:r>
          </w:p>
        </w:tc>
      </w:tr>
      <w:tr w:rsidR="00A73799" w:rsidRPr="00A73799" w:rsidTr="00A73799">
        <w:trPr>
          <w:trHeight w:val="178"/>
        </w:trPr>
        <w:tc>
          <w:tcPr>
            <w:tcW w:w="567" w:type="pct"/>
            <w:hideMark/>
          </w:tcPr>
          <w:p w:rsidR="00A73799" w:rsidRPr="00A73799" w:rsidRDefault="00A73799" w:rsidP="00A73799">
            <w:pPr>
              <w:rPr>
                <w:rFonts w:asciiTheme="minorHAnsi" w:hAnsiTheme="minorHAnsi"/>
                <w:sz w:val="22"/>
                <w:szCs w:val="22"/>
              </w:rPr>
            </w:pPr>
            <w:r w:rsidRPr="00A73799">
              <w:rPr>
                <w:rFonts w:asciiTheme="minorHAnsi" w:hAnsiTheme="minorHAnsi"/>
                <w:bCs/>
                <w:sz w:val="22"/>
                <w:szCs w:val="22"/>
              </w:rPr>
              <w:t>II</w:t>
            </w:r>
          </w:p>
        </w:tc>
        <w:tc>
          <w:tcPr>
            <w:tcW w:w="886"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$220,000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$5,000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$6,500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$500 </w:t>
            </w:r>
          </w:p>
        </w:tc>
        <w:tc>
          <w:tcPr>
            <w:tcW w:w="885"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$2,500 </w:t>
            </w:r>
          </w:p>
        </w:tc>
      </w:tr>
      <w:tr w:rsidR="00A73799" w:rsidRPr="00A73799" w:rsidTr="00A73799">
        <w:trPr>
          <w:trHeight w:val="178"/>
        </w:trPr>
        <w:tc>
          <w:tcPr>
            <w:tcW w:w="567" w:type="pct"/>
            <w:hideMark/>
          </w:tcPr>
          <w:p w:rsidR="00A73799" w:rsidRPr="00A73799" w:rsidRDefault="00A73799" w:rsidP="00A73799">
            <w:pPr>
              <w:rPr>
                <w:rFonts w:asciiTheme="minorHAnsi" w:hAnsiTheme="minorHAnsi"/>
                <w:sz w:val="22"/>
                <w:szCs w:val="22"/>
              </w:rPr>
            </w:pPr>
            <w:r w:rsidRPr="00A73799">
              <w:rPr>
                <w:rFonts w:asciiTheme="minorHAnsi" w:hAnsiTheme="minorHAnsi"/>
                <w:bCs/>
                <w:sz w:val="22"/>
                <w:szCs w:val="22"/>
              </w:rPr>
              <w:t>III</w:t>
            </w:r>
          </w:p>
        </w:tc>
        <w:tc>
          <w:tcPr>
            <w:tcW w:w="886"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$310,000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$7,000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$6,000 </w:t>
            </w:r>
          </w:p>
        </w:tc>
        <w:tc>
          <w:tcPr>
            <w:tcW w:w="887"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$2,800 </w:t>
            </w:r>
          </w:p>
        </w:tc>
        <w:tc>
          <w:tcPr>
            <w:tcW w:w="885" w:type="pct"/>
            <w:hideMark/>
          </w:tcPr>
          <w:p w:rsidR="00A73799" w:rsidRPr="00A73799" w:rsidRDefault="00A73799" w:rsidP="00A73799">
            <w:pPr>
              <w:rPr>
                <w:rFonts w:asciiTheme="minorHAnsi" w:hAnsiTheme="minorHAnsi"/>
                <w:sz w:val="22"/>
                <w:szCs w:val="22"/>
              </w:rPr>
            </w:pPr>
            <w:r w:rsidRPr="00A73799">
              <w:rPr>
                <w:rFonts w:asciiTheme="minorHAnsi" w:hAnsiTheme="minorHAnsi"/>
                <w:sz w:val="22"/>
                <w:szCs w:val="22"/>
              </w:rPr>
              <w:t xml:space="preserve">$3,000 </w:t>
            </w:r>
          </w:p>
        </w:tc>
      </w:tr>
    </w:tbl>
    <w:p w:rsidR="00A73799" w:rsidRPr="00FC0F4D" w:rsidRDefault="00A73799" w:rsidP="00DE32E5">
      <w:pPr>
        <w:rPr>
          <w:rFonts w:asciiTheme="minorHAnsi" w:hAnsiTheme="minorHAnsi"/>
          <w:b/>
          <w:sz w:val="22"/>
          <w:szCs w:val="22"/>
          <w:u w:val="single"/>
        </w:rPr>
      </w:pPr>
    </w:p>
    <w:p w:rsidR="00A73799" w:rsidRPr="001E22A1" w:rsidRDefault="00A73799" w:rsidP="00A73799">
      <w:pPr>
        <w:tabs>
          <w:tab w:val="left" w:pos="720"/>
          <w:tab w:val="left" w:pos="2160"/>
          <w:tab w:val="left" w:pos="2880"/>
        </w:tabs>
        <w:rPr>
          <w:rFonts w:asciiTheme="minorHAnsi" w:hAnsiTheme="minorHAnsi"/>
          <w:b/>
          <w:sz w:val="22"/>
          <w:szCs w:val="22"/>
        </w:rPr>
      </w:pPr>
      <w:r w:rsidRPr="001E22A1">
        <w:rPr>
          <w:rFonts w:asciiTheme="minorHAnsi" w:hAnsiTheme="minorHAnsi"/>
          <w:b/>
          <w:sz w:val="22"/>
          <w:szCs w:val="22"/>
        </w:rPr>
        <w:t>Formula to convert uniform annual benefits to a present value</w:t>
      </w:r>
    </w:p>
    <w:p w:rsidR="00A73799" w:rsidRDefault="00EB7602" w:rsidP="00A73799">
      <w:pPr>
        <w:tabs>
          <w:tab w:val="left" w:pos="720"/>
          <w:tab w:val="left" w:pos="2160"/>
          <w:tab w:val="left" w:pos="2880"/>
        </w:tabs>
        <w:ind w:left="720"/>
        <w:rPr>
          <w:rFonts w:asciiTheme="minorHAnsi" w:hAnsiTheme="minorHAnsi"/>
          <w:sz w:val="22"/>
          <w:szCs w:val="22"/>
        </w:rPr>
      </w:pPr>
      <m:oMath>
        <m:d>
          <m:dPr>
            <m:ctrlPr>
              <w:rPr>
                <w:rFonts w:ascii="Cambria Math" w:hAnsi="Cambria Math"/>
                <w:i/>
                <w:sz w:val="22"/>
                <w:szCs w:val="22"/>
              </w:rPr>
            </m:ctrlPr>
          </m:dPr>
          <m:e>
            <m:r>
              <w:rPr>
                <w:rFonts w:ascii="Cambria Math" w:hAnsi="Cambria Math"/>
                <w:sz w:val="22"/>
                <w:szCs w:val="22"/>
              </w:rPr>
              <m:t>P</m:t>
            </m:r>
          </m:e>
          <m:e>
            <m:r>
              <w:rPr>
                <w:rFonts w:ascii="Cambria Math" w:hAnsi="Cambria Math"/>
                <w:sz w:val="22"/>
                <w:szCs w:val="22"/>
              </w:rPr>
              <m:t>A, i,y</m:t>
            </m:r>
          </m:e>
        </m:d>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1+i</m:t>
                    </m:r>
                  </m:e>
                </m:d>
              </m:e>
              <m:sup>
                <m:r>
                  <w:rPr>
                    <w:rFonts w:ascii="Cambria Math" w:hAnsi="Cambria Math"/>
                    <w:sz w:val="22"/>
                    <w:szCs w:val="22"/>
                  </w:rPr>
                  <m:t>y</m:t>
                </m:r>
              </m:sup>
            </m:sSup>
            <m:r>
              <w:rPr>
                <w:rFonts w:ascii="Cambria Math" w:hAnsi="Cambria Math"/>
                <w:sz w:val="22"/>
                <w:szCs w:val="22"/>
              </w:rPr>
              <m:t xml:space="preserve">-1 </m:t>
            </m:r>
          </m:num>
          <m:den>
            <m:r>
              <w:rPr>
                <w:rFonts w:ascii="Cambria Math" w:hAnsi="Cambria Math"/>
                <w:sz w:val="22"/>
                <w:szCs w:val="22"/>
              </w:rPr>
              <m:t>i*</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1+i</m:t>
                    </m:r>
                  </m:e>
                </m:d>
              </m:e>
              <m:sup>
                <m:r>
                  <w:rPr>
                    <w:rFonts w:ascii="Cambria Math" w:hAnsi="Cambria Math"/>
                    <w:sz w:val="22"/>
                    <w:szCs w:val="22"/>
                  </w:rPr>
                  <m:t>y</m:t>
                </m:r>
              </m:sup>
            </m:sSup>
            <m:r>
              <w:rPr>
                <w:rFonts w:ascii="Cambria Math" w:hAnsi="Cambria Math"/>
                <w:sz w:val="22"/>
                <w:szCs w:val="22"/>
              </w:rPr>
              <m:t xml:space="preserve"> </m:t>
            </m:r>
          </m:den>
        </m:f>
        <m:r>
          <w:rPr>
            <w:rFonts w:ascii="Cambria Math" w:hAnsi="Cambria Math"/>
            <w:sz w:val="22"/>
            <w:szCs w:val="22"/>
          </w:rPr>
          <m:t xml:space="preserve"> </m:t>
        </m:r>
      </m:oMath>
      <w:r w:rsidR="00A73799" w:rsidRPr="001E22A1">
        <w:rPr>
          <w:rFonts w:asciiTheme="minorHAnsi" w:hAnsiTheme="minorHAnsi"/>
          <w:sz w:val="22"/>
          <w:szCs w:val="22"/>
        </w:rPr>
        <w:t xml:space="preserve"> Where </w:t>
      </w:r>
      <m:oMath>
        <m:r>
          <w:rPr>
            <w:rFonts w:ascii="Cambria Math" w:hAnsi="Cambria Math"/>
            <w:sz w:val="22"/>
            <w:szCs w:val="22"/>
          </w:rPr>
          <m:t>i</m:t>
        </m:r>
      </m:oMath>
      <w:r w:rsidR="00A73799" w:rsidRPr="001E22A1">
        <w:rPr>
          <w:rFonts w:asciiTheme="minorHAnsi" w:hAnsiTheme="minorHAnsi"/>
          <w:sz w:val="22"/>
          <w:szCs w:val="22"/>
        </w:rPr>
        <w:t xml:space="preserve"> = discount rate, </w:t>
      </w:r>
      <m:oMath>
        <m:r>
          <w:rPr>
            <w:rFonts w:ascii="Cambria Math" w:hAnsi="Cambria Math"/>
            <w:sz w:val="22"/>
            <w:szCs w:val="22"/>
          </w:rPr>
          <m:t>y</m:t>
        </m:r>
      </m:oMath>
      <w:r w:rsidR="00A73799" w:rsidRPr="001E22A1">
        <w:rPr>
          <w:rFonts w:asciiTheme="minorHAnsi" w:hAnsiTheme="minorHAnsi"/>
          <w:sz w:val="22"/>
          <w:szCs w:val="22"/>
        </w:rPr>
        <w:t>= year in the service life of the countermeasure</w:t>
      </w: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Default="00A73799" w:rsidP="00A73799">
      <w:pPr>
        <w:tabs>
          <w:tab w:val="left" w:pos="720"/>
          <w:tab w:val="left" w:pos="2160"/>
          <w:tab w:val="left" w:pos="2880"/>
        </w:tabs>
        <w:ind w:left="720"/>
        <w:rPr>
          <w:rFonts w:asciiTheme="minorHAnsi" w:hAnsiTheme="minorHAnsi"/>
          <w:sz w:val="22"/>
          <w:szCs w:val="22"/>
        </w:rPr>
      </w:pPr>
    </w:p>
    <w:p w:rsidR="00A73799" w:rsidRPr="001E22A1" w:rsidRDefault="00A73799" w:rsidP="00A73799">
      <w:pPr>
        <w:tabs>
          <w:tab w:val="left" w:pos="720"/>
          <w:tab w:val="left" w:pos="2160"/>
          <w:tab w:val="left" w:pos="2880"/>
        </w:tabs>
        <w:ind w:left="720"/>
        <w:rPr>
          <w:rFonts w:asciiTheme="minorHAnsi" w:hAnsiTheme="minorHAnsi"/>
          <w:sz w:val="22"/>
          <w:szCs w:val="22"/>
        </w:rPr>
      </w:pPr>
    </w:p>
    <w:p w:rsidR="00873F1A" w:rsidRDefault="00873F1A" w:rsidP="00360604">
      <w:pPr>
        <w:tabs>
          <w:tab w:val="left" w:pos="720"/>
          <w:tab w:val="left" w:pos="2160"/>
          <w:tab w:val="left" w:pos="2880"/>
        </w:tabs>
        <w:rPr>
          <w:rFonts w:asciiTheme="minorHAnsi" w:hAnsiTheme="minorHAnsi"/>
          <w:b/>
          <w:sz w:val="18"/>
          <w:szCs w:val="22"/>
        </w:rPr>
      </w:pPr>
    </w:p>
    <w:p w:rsidR="00A73799" w:rsidRDefault="00A73799" w:rsidP="00360604">
      <w:pPr>
        <w:tabs>
          <w:tab w:val="left" w:pos="720"/>
          <w:tab w:val="left" w:pos="2160"/>
          <w:tab w:val="left" w:pos="2880"/>
        </w:tabs>
        <w:rPr>
          <w:rFonts w:asciiTheme="minorHAnsi" w:hAnsiTheme="minorHAnsi"/>
          <w:b/>
          <w:sz w:val="18"/>
          <w:szCs w:val="22"/>
        </w:rPr>
      </w:pPr>
    </w:p>
    <w:p w:rsidR="00A73799" w:rsidRDefault="00A73799" w:rsidP="00A73799">
      <w:pPr>
        <w:rPr>
          <w:rFonts w:asciiTheme="minorHAnsi" w:hAnsiTheme="minorHAnsi"/>
          <w:sz w:val="22"/>
          <w:szCs w:val="22"/>
        </w:rPr>
      </w:pPr>
      <w:r>
        <w:rPr>
          <w:rFonts w:asciiTheme="minorHAnsi" w:hAnsiTheme="minorHAnsi"/>
          <w:b/>
          <w:sz w:val="22"/>
          <w:szCs w:val="22"/>
          <w:u w:val="single"/>
        </w:rPr>
        <w:t>In-class Activity 2:</w:t>
      </w:r>
      <w:r w:rsidRPr="00FC0F4D">
        <w:rPr>
          <w:rFonts w:asciiTheme="minorHAnsi" w:hAnsiTheme="minorHAnsi"/>
          <w:b/>
          <w:sz w:val="22"/>
          <w:szCs w:val="22"/>
        </w:rPr>
        <w:t xml:space="preserve"> </w:t>
      </w:r>
      <w:r w:rsidRPr="00A73799">
        <w:rPr>
          <w:rFonts w:asciiTheme="minorHAnsi" w:hAnsiTheme="minorHAnsi"/>
          <w:sz w:val="22"/>
          <w:szCs w:val="22"/>
        </w:rPr>
        <w:t>A transit agency is evaluating alternatives for a light rail line construction. Five alternatives are evaluated for five different criteria. Evaluate the alternatives using the rating and ranking method.</w:t>
      </w:r>
    </w:p>
    <w:p w:rsidR="00A73799" w:rsidRDefault="00A73799" w:rsidP="00A73799">
      <w:pPr>
        <w:rPr>
          <w:rFonts w:asciiTheme="minorHAnsi" w:hAnsiTheme="minorHAnsi"/>
          <w:sz w:val="22"/>
          <w:szCs w:val="22"/>
        </w:rPr>
      </w:pPr>
    </w:p>
    <w:p w:rsidR="00A73799" w:rsidRDefault="00A73799" w:rsidP="00A73799">
      <w:pPr>
        <w:rPr>
          <w:rFonts w:asciiTheme="minorHAnsi" w:hAnsiTheme="minorHAnsi"/>
          <w:b/>
          <w:sz w:val="18"/>
          <w:szCs w:val="22"/>
        </w:rPr>
      </w:pPr>
      <w:r w:rsidRPr="00A73799">
        <w:rPr>
          <w:rFonts w:asciiTheme="minorHAnsi" w:hAnsiTheme="minorHAnsi"/>
          <w:b/>
          <w:noProof/>
          <w:sz w:val="18"/>
          <w:szCs w:val="22"/>
        </w:rPr>
        <w:drawing>
          <wp:inline distT="0" distB="0" distL="0" distR="0" wp14:anchorId="49277528" wp14:editId="1A0EBB4C">
            <wp:extent cx="5943600" cy="11080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a:effectLst/>
                    <a:extLst/>
                  </pic:spPr>
                </pic:pic>
              </a:graphicData>
            </a:graphic>
          </wp:inline>
        </w:drawing>
      </w: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Pr="00823697" w:rsidRDefault="00823697" w:rsidP="00A73799">
      <w:pPr>
        <w:rPr>
          <w:rFonts w:asciiTheme="minorHAnsi" w:hAnsiTheme="minorHAnsi"/>
          <w:b/>
          <w:sz w:val="18"/>
          <w:szCs w:val="22"/>
        </w:rPr>
      </w:pPr>
      <w:r>
        <w:rPr>
          <w:rFonts w:asciiTheme="minorHAnsi" w:hAnsiTheme="minorHAnsi"/>
          <w:b/>
          <w:sz w:val="22"/>
          <w:szCs w:val="22"/>
          <w:u w:val="single"/>
        </w:rPr>
        <w:lastRenderedPageBreak/>
        <w:t>In-class Activity 3</w:t>
      </w:r>
      <w:r>
        <w:rPr>
          <w:rFonts w:asciiTheme="minorHAnsi" w:hAnsiTheme="minorHAnsi"/>
          <w:b/>
          <w:sz w:val="22"/>
          <w:szCs w:val="22"/>
          <w:u w:val="single"/>
        </w:rPr>
        <w:t>:</w:t>
      </w:r>
      <w:r>
        <w:rPr>
          <w:rFonts w:asciiTheme="minorHAnsi" w:hAnsiTheme="minorHAnsi"/>
          <w:b/>
          <w:sz w:val="22"/>
          <w:szCs w:val="22"/>
          <w:u w:val="single"/>
        </w:rPr>
        <w:t xml:space="preserve"> </w:t>
      </w:r>
      <w:r w:rsidRPr="00823697">
        <w:rPr>
          <w:rFonts w:asciiTheme="minorHAnsi" w:hAnsiTheme="minorHAnsi"/>
          <w:sz w:val="22"/>
          <w:szCs w:val="22"/>
        </w:rPr>
        <w:t>Let’s say, you are working for NIRCC</w:t>
      </w:r>
      <w:r>
        <w:rPr>
          <w:rFonts w:asciiTheme="minorHAnsi" w:hAnsiTheme="minorHAnsi"/>
          <w:sz w:val="22"/>
          <w:szCs w:val="22"/>
        </w:rPr>
        <w:t xml:space="preserve"> at Fort Wayne as a Transportation Planner. Your responsibility is to measure the congestion of each roadway segment in the congestion management network</w:t>
      </w:r>
      <w:r w:rsidR="00AD1F52">
        <w:rPr>
          <w:rFonts w:asciiTheme="minorHAnsi" w:hAnsiTheme="minorHAnsi"/>
          <w:sz w:val="22"/>
          <w:szCs w:val="22"/>
        </w:rPr>
        <w:t xml:space="preserve"> within the boundary. As an example, the average AM and PM traffic volume is given on Interstate 469 from Maple crest to Interstate 69 (see Figure 1). Determine whether this roadway segment is congested or not.</w:t>
      </w: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p w:rsidR="00823697" w:rsidRDefault="00823697" w:rsidP="00A73799">
      <w:pPr>
        <w:rPr>
          <w:rFonts w:asciiTheme="minorHAnsi" w:hAnsiTheme="minorHAnsi"/>
          <w:b/>
          <w:sz w:val="18"/>
          <w:szCs w:val="22"/>
        </w:rPr>
      </w:pPr>
    </w:p>
    <w:tbl>
      <w:tblPr>
        <w:tblStyle w:val="TableGrid"/>
        <w:tblW w:w="4852" w:type="pct"/>
        <w:tblLook w:val="0420" w:firstRow="1" w:lastRow="0" w:firstColumn="0" w:lastColumn="0" w:noHBand="0" w:noVBand="1"/>
      </w:tblPr>
      <w:tblGrid>
        <w:gridCol w:w="1511"/>
        <w:gridCol w:w="1646"/>
        <w:gridCol w:w="1388"/>
        <w:gridCol w:w="1510"/>
        <w:gridCol w:w="1510"/>
        <w:gridCol w:w="1508"/>
      </w:tblGrid>
      <w:tr w:rsidR="00823697" w:rsidRPr="00823697" w:rsidTr="00823697">
        <w:trPr>
          <w:trHeight w:val="393"/>
        </w:trPr>
        <w:tc>
          <w:tcPr>
            <w:tcW w:w="832" w:type="pct"/>
            <w:hideMark/>
          </w:tcPr>
          <w:p w:rsidR="00823697" w:rsidRPr="00823697" w:rsidRDefault="00823697" w:rsidP="00823697">
            <w:pPr>
              <w:jc w:val="center"/>
              <w:rPr>
                <w:rFonts w:asciiTheme="minorHAnsi" w:hAnsiTheme="minorHAnsi"/>
                <w:b/>
              </w:rPr>
            </w:pPr>
            <w:r w:rsidRPr="00823697">
              <w:rPr>
                <w:rFonts w:asciiTheme="minorHAnsi" w:hAnsiTheme="minorHAnsi"/>
                <w:b/>
                <w:bCs/>
              </w:rPr>
              <w:t>Street</w:t>
            </w:r>
          </w:p>
        </w:tc>
        <w:tc>
          <w:tcPr>
            <w:tcW w:w="907" w:type="pct"/>
            <w:hideMark/>
          </w:tcPr>
          <w:p w:rsidR="00823697" w:rsidRPr="00823697" w:rsidRDefault="00823697" w:rsidP="00823697">
            <w:pPr>
              <w:jc w:val="center"/>
              <w:rPr>
                <w:rFonts w:asciiTheme="minorHAnsi" w:hAnsiTheme="minorHAnsi"/>
                <w:b/>
              </w:rPr>
            </w:pPr>
            <w:r>
              <w:rPr>
                <w:rFonts w:asciiTheme="minorHAnsi" w:hAnsiTheme="minorHAnsi"/>
                <w:b/>
                <w:bCs/>
              </w:rPr>
              <w:t>from</w:t>
            </w:r>
            <w:r w:rsidRPr="00823697">
              <w:rPr>
                <w:rFonts w:asciiTheme="minorHAnsi" w:hAnsiTheme="minorHAnsi"/>
                <w:b/>
                <w:bCs/>
              </w:rPr>
              <w:t xml:space="preserve"> street</w:t>
            </w:r>
          </w:p>
        </w:tc>
        <w:tc>
          <w:tcPr>
            <w:tcW w:w="765" w:type="pct"/>
            <w:hideMark/>
          </w:tcPr>
          <w:p w:rsidR="00823697" w:rsidRPr="00823697" w:rsidRDefault="00823697" w:rsidP="00823697">
            <w:pPr>
              <w:jc w:val="center"/>
              <w:rPr>
                <w:rFonts w:asciiTheme="minorHAnsi" w:hAnsiTheme="minorHAnsi"/>
                <w:b/>
              </w:rPr>
            </w:pPr>
            <w:r>
              <w:rPr>
                <w:rFonts w:asciiTheme="minorHAnsi" w:hAnsiTheme="minorHAnsi"/>
                <w:b/>
                <w:bCs/>
              </w:rPr>
              <w:t>to</w:t>
            </w:r>
            <w:r w:rsidRPr="00823697">
              <w:rPr>
                <w:rFonts w:asciiTheme="minorHAnsi" w:hAnsiTheme="minorHAnsi"/>
                <w:b/>
                <w:bCs/>
              </w:rPr>
              <w:t xml:space="preserve"> street</w:t>
            </w:r>
          </w:p>
        </w:tc>
        <w:tc>
          <w:tcPr>
            <w:tcW w:w="832" w:type="pct"/>
            <w:hideMark/>
          </w:tcPr>
          <w:p w:rsidR="00823697" w:rsidRPr="00823697" w:rsidRDefault="00823697" w:rsidP="00823697">
            <w:pPr>
              <w:jc w:val="center"/>
              <w:rPr>
                <w:rFonts w:asciiTheme="minorHAnsi" w:hAnsiTheme="minorHAnsi"/>
                <w:b/>
              </w:rPr>
            </w:pPr>
            <w:r w:rsidRPr="00823697">
              <w:rPr>
                <w:rFonts w:asciiTheme="minorHAnsi" w:hAnsiTheme="minorHAnsi"/>
                <w:b/>
                <w:bCs/>
              </w:rPr>
              <w:t>AM Peak Vol</w:t>
            </w:r>
          </w:p>
        </w:tc>
        <w:tc>
          <w:tcPr>
            <w:tcW w:w="832" w:type="pct"/>
            <w:hideMark/>
          </w:tcPr>
          <w:p w:rsidR="00823697" w:rsidRPr="00823697" w:rsidRDefault="00823697" w:rsidP="00823697">
            <w:pPr>
              <w:jc w:val="center"/>
              <w:rPr>
                <w:rFonts w:asciiTheme="minorHAnsi" w:hAnsiTheme="minorHAnsi"/>
                <w:b/>
              </w:rPr>
            </w:pPr>
            <w:r w:rsidRPr="00823697">
              <w:rPr>
                <w:rFonts w:asciiTheme="minorHAnsi" w:hAnsiTheme="minorHAnsi"/>
                <w:b/>
                <w:bCs/>
              </w:rPr>
              <w:t>PM Peak Vol</w:t>
            </w:r>
          </w:p>
        </w:tc>
        <w:tc>
          <w:tcPr>
            <w:tcW w:w="831" w:type="pct"/>
            <w:hideMark/>
          </w:tcPr>
          <w:p w:rsidR="00823697" w:rsidRPr="00823697" w:rsidRDefault="00823697" w:rsidP="00823697">
            <w:pPr>
              <w:jc w:val="center"/>
              <w:rPr>
                <w:rFonts w:asciiTheme="minorHAnsi" w:hAnsiTheme="minorHAnsi"/>
                <w:b/>
              </w:rPr>
            </w:pPr>
            <w:r w:rsidRPr="00823697">
              <w:rPr>
                <w:rFonts w:asciiTheme="minorHAnsi" w:hAnsiTheme="minorHAnsi"/>
                <w:b/>
                <w:bCs/>
              </w:rPr>
              <w:t>Length</w:t>
            </w:r>
          </w:p>
        </w:tc>
      </w:tr>
      <w:tr w:rsidR="00823697" w:rsidRPr="00823697" w:rsidTr="00823697">
        <w:trPr>
          <w:trHeight w:val="393"/>
        </w:trPr>
        <w:tc>
          <w:tcPr>
            <w:tcW w:w="832" w:type="pct"/>
            <w:hideMark/>
          </w:tcPr>
          <w:p w:rsidR="00823697" w:rsidRPr="00823697" w:rsidRDefault="00823697" w:rsidP="00823697">
            <w:pPr>
              <w:rPr>
                <w:rFonts w:asciiTheme="minorHAnsi" w:hAnsiTheme="minorHAnsi"/>
              </w:rPr>
            </w:pPr>
            <w:r w:rsidRPr="00823697">
              <w:rPr>
                <w:rFonts w:asciiTheme="minorHAnsi" w:hAnsiTheme="minorHAnsi"/>
              </w:rPr>
              <w:t>Inter 469</w:t>
            </w:r>
          </w:p>
        </w:tc>
        <w:tc>
          <w:tcPr>
            <w:tcW w:w="907" w:type="pct"/>
            <w:hideMark/>
          </w:tcPr>
          <w:p w:rsidR="00823697" w:rsidRPr="00823697" w:rsidRDefault="00823697" w:rsidP="00823697">
            <w:pPr>
              <w:rPr>
                <w:rFonts w:asciiTheme="minorHAnsi" w:hAnsiTheme="minorHAnsi"/>
              </w:rPr>
            </w:pPr>
            <w:r w:rsidRPr="00823697">
              <w:rPr>
                <w:rFonts w:asciiTheme="minorHAnsi" w:hAnsiTheme="minorHAnsi"/>
              </w:rPr>
              <w:t>Maplecrest</w:t>
            </w:r>
          </w:p>
        </w:tc>
        <w:tc>
          <w:tcPr>
            <w:tcW w:w="765" w:type="pct"/>
            <w:hideMark/>
          </w:tcPr>
          <w:p w:rsidR="00823697" w:rsidRPr="00823697" w:rsidRDefault="00823697" w:rsidP="00823697">
            <w:pPr>
              <w:rPr>
                <w:rFonts w:asciiTheme="minorHAnsi" w:hAnsiTheme="minorHAnsi"/>
              </w:rPr>
            </w:pPr>
            <w:r w:rsidRPr="00823697">
              <w:rPr>
                <w:rFonts w:asciiTheme="minorHAnsi" w:hAnsiTheme="minorHAnsi"/>
              </w:rPr>
              <w:t>Inter 69</w:t>
            </w:r>
          </w:p>
        </w:tc>
        <w:tc>
          <w:tcPr>
            <w:tcW w:w="832" w:type="pct"/>
            <w:hideMark/>
          </w:tcPr>
          <w:p w:rsidR="00823697" w:rsidRPr="00823697" w:rsidRDefault="00823697" w:rsidP="00823697">
            <w:pPr>
              <w:rPr>
                <w:rFonts w:asciiTheme="minorHAnsi" w:hAnsiTheme="minorHAnsi"/>
              </w:rPr>
            </w:pPr>
            <w:r w:rsidRPr="00823697">
              <w:rPr>
                <w:rFonts w:asciiTheme="minorHAnsi" w:hAnsiTheme="minorHAnsi"/>
              </w:rPr>
              <w:t>2542</w:t>
            </w:r>
          </w:p>
        </w:tc>
        <w:tc>
          <w:tcPr>
            <w:tcW w:w="832" w:type="pct"/>
            <w:hideMark/>
          </w:tcPr>
          <w:p w:rsidR="00823697" w:rsidRPr="00823697" w:rsidRDefault="00823697" w:rsidP="00823697">
            <w:pPr>
              <w:rPr>
                <w:rFonts w:asciiTheme="minorHAnsi" w:hAnsiTheme="minorHAnsi"/>
              </w:rPr>
            </w:pPr>
            <w:r w:rsidRPr="00823697">
              <w:rPr>
                <w:rFonts w:asciiTheme="minorHAnsi" w:hAnsiTheme="minorHAnsi"/>
              </w:rPr>
              <w:t>2522</w:t>
            </w:r>
          </w:p>
        </w:tc>
        <w:tc>
          <w:tcPr>
            <w:tcW w:w="831" w:type="pct"/>
            <w:hideMark/>
          </w:tcPr>
          <w:p w:rsidR="00823697" w:rsidRPr="00823697" w:rsidRDefault="00823697" w:rsidP="00823697">
            <w:pPr>
              <w:rPr>
                <w:rFonts w:asciiTheme="minorHAnsi" w:hAnsiTheme="minorHAnsi"/>
              </w:rPr>
            </w:pPr>
            <w:r w:rsidRPr="00823697">
              <w:rPr>
                <w:rFonts w:asciiTheme="minorHAnsi" w:hAnsiTheme="minorHAnsi"/>
              </w:rPr>
              <w:t>2.26</w:t>
            </w:r>
          </w:p>
        </w:tc>
      </w:tr>
    </w:tbl>
    <w:p w:rsidR="00823697" w:rsidRDefault="00823697" w:rsidP="00A73799">
      <w:pPr>
        <w:rPr>
          <w:rFonts w:asciiTheme="minorHAnsi" w:hAnsiTheme="minorHAnsi"/>
          <w:b/>
          <w:sz w:val="18"/>
          <w:szCs w:val="22"/>
        </w:rPr>
      </w:pPr>
    </w:p>
    <w:p w:rsidR="00823697" w:rsidRDefault="00823697" w:rsidP="00823697">
      <w:pPr>
        <w:jc w:val="center"/>
        <w:rPr>
          <w:rFonts w:asciiTheme="minorHAnsi" w:hAnsiTheme="minorHAnsi"/>
          <w:b/>
          <w:sz w:val="18"/>
          <w:szCs w:val="22"/>
        </w:rPr>
      </w:pPr>
      <w:r w:rsidRPr="00823697">
        <w:rPr>
          <w:rFonts w:asciiTheme="minorHAnsi" w:hAnsiTheme="minorHAnsi"/>
          <w:b/>
          <w:sz w:val="18"/>
          <w:szCs w:val="22"/>
        </w:rPr>
        <w:drawing>
          <wp:inline distT="0" distB="0" distL="0" distR="0" wp14:anchorId="55DB2FA0" wp14:editId="54BEE457">
            <wp:extent cx="3814761" cy="225484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3814761" cy="2254840"/>
                    </a:xfrm>
                    <a:prstGeom prst="rect">
                      <a:avLst/>
                    </a:prstGeom>
                  </pic:spPr>
                </pic:pic>
              </a:graphicData>
            </a:graphic>
          </wp:inline>
        </w:drawing>
      </w:r>
    </w:p>
    <w:p w:rsidR="00AD1F52" w:rsidRPr="00AD1F52" w:rsidRDefault="00AD1F52" w:rsidP="00823697">
      <w:pPr>
        <w:jc w:val="center"/>
        <w:rPr>
          <w:rFonts w:asciiTheme="minorHAnsi" w:hAnsiTheme="minorHAnsi"/>
        </w:rPr>
      </w:pPr>
      <w:r w:rsidRPr="00AD1F52">
        <w:rPr>
          <w:rFonts w:asciiTheme="minorHAnsi" w:hAnsiTheme="minorHAnsi"/>
        </w:rPr>
        <w:t>Figure 1: Interstate 469 from Maplecrest to Interstate 69</w:t>
      </w:r>
    </w:p>
    <w:p w:rsidR="00823697" w:rsidRPr="001A01D0" w:rsidRDefault="00823697" w:rsidP="00823697">
      <w:pPr>
        <w:jc w:val="center"/>
        <w:rPr>
          <w:rFonts w:asciiTheme="minorHAnsi" w:hAnsiTheme="minorHAnsi"/>
          <w:b/>
          <w:sz w:val="18"/>
          <w:szCs w:val="22"/>
        </w:rPr>
      </w:pPr>
      <w:bookmarkStart w:id="0" w:name="_GoBack"/>
      <w:r w:rsidRPr="00823697">
        <w:rPr>
          <w:rFonts w:asciiTheme="minorHAnsi" w:hAnsiTheme="minorHAnsi"/>
          <w:b/>
          <w:sz w:val="18"/>
          <w:szCs w:val="22"/>
        </w:rPr>
        <w:drawing>
          <wp:inline distT="0" distB="0" distL="0" distR="0" wp14:anchorId="7A6FCBF2" wp14:editId="6C5B2024">
            <wp:extent cx="5105224" cy="4394882"/>
            <wp:effectExtent l="0" t="0" r="635" b="571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5105224" cy="4394882"/>
                    </a:xfrm>
                    <a:prstGeom prst="rect">
                      <a:avLst/>
                    </a:prstGeom>
                  </pic:spPr>
                </pic:pic>
              </a:graphicData>
            </a:graphic>
          </wp:inline>
        </w:drawing>
      </w:r>
      <w:bookmarkEnd w:id="0"/>
    </w:p>
    <w:sectPr w:rsidR="00823697" w:rsidRPr="001A01D0" w:rsidSect="001A01D0">
      <w:headerReference w:type="default" r:id="rId1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02" w:rsidRDefault="00EB7602">
      <w:r>
        <w:separator/>
      </w:r>
    </w:p>
  </w:endnote>
  <w:endnote w:type="continuationSeparator" w:id="0">
    <w:p w:rsidR="00EB7602" w:rsidRDefault="00EB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02" w:rsidRDefault="00EB7602">
      <w:r>
        <w:separator/>
      </w:r>
    </w:p>
  </w:footnote>
  <w:footnote w:type="continuationSeparator" w:id="0">
    <w:p w:rsidR="00EB7602" w:rsidRDefault="00EB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49" w:rsidRPr="009D7E81" w:rsidRDefault="00FC0F4D" w:rsidP="00C84F05">
    <w:pPr>
      <w:pStyle w:val="Header"/>
      <w:tabs>
        <w:tab w:val="clear" w:pos="8640"/>
        <w:tab w:val="right" w:pos="9360"/>
      </w:tabs>
      <w:rPr>
        <w:rFonts w:asciiTheme="minorHAnsi" w:hAnsiTheme="minorHAnsi"/>
        <w:b/>
      </w:rPr>
    </w:pPr>
    <w:r>
      <w:rPr>
        <w:rFonts w:asciiTheme="minorHAnsi" w:hAnsiTheme="minorHAnsi"/>
        <w:b/>
      </w:rPr>
      <w:t>CE 45000</w:t>
    </w:r>
    <w:r w:rsidR="00C34749" w:rsidRPr="009D7E81">
      <w:rPr>
        <w:rFonts w:asciiTheme="minorHAnsi" w:hAnsiTheme="minorHAnsi"/>
        <w:b/>
      </w:rPr>
      <w:tab/>
    </w:r>
    <w:r w:rsidR="00C34749" w:rsidRPr="009D7E81">
      <w:rPr>
        <w:rFonts w:asciiTheme="minorHAnsi" w:hAnsiTheme="minorHAnsi"/>
        <w:b/>
      </w:rPr>
      <w:tab/>
    </w:r>
    <w:r w:rsidR="00A73799">
      <w:rPr>
        <w:rFonts w:asciiTheme="minorHAnsi" w:hAnsiTheme="minorHAnsi"/>
        <w:b/>
      </w:rPr>
      <w:t>Planning Alternatives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5"/>
    <w:rsid w:val="00011055"/>
    <w:rsid w:val="000367E1"/>
    <w:rsid w:val="000475D9"/>
    <w:rsid w:val="00084FAE"/>
    <w:rsid w:val="000946D4"/>
    <w:rsid w:val="000C1FA8"/>
    <w:rsid w:val="000C2662"/>
    <w:rsid w:val="000D7317"/>
    <w:rsid w:val="000E1411"/>
    <w:rsid w:val="000E3F2E"/>
    <w:rsid w:val="001149D5"/>
    <w:rsid w:val="00130060"/>
    <w:rsid w:val="00135761"/>
    <w:rsid w:val="001A01D0"/>
    <w:rsid w:val="001A7355"/>
    <w:rsid w:val="00200538"/>
    <w:rsid w:val="002248B0"/>
    <w:rsid w:val="00265082"/>
    <w:rsid w:val="00280CED"/>
    <w:rsid w:val="002D2E5D"/>
    <w:rsid w:val="002D3801"/>
    <w:rsid w:val="002F22F1"/>
    <w:rsid w:val="00316177"/>
    <w:rsid w:val="00317448"/>
    <w:rsid w:val="00337C17"/>
    <w:rsid w:val="00345046"/>
    <w:rsid w:val="003457F0"/>
    <w:rsid w:val="00360604"/>
    <w:rsid w:val="00361F52"/>
    <w:rsid w:val="00362108"/>
    <w:rsid w:val="003726D9"/>
    <w:rsid w:val="003A702C"/>
    <w:rsid w:val="003D358A"/>
    <w:rsid w:val="003E38AC"/>
    <w:rsid w:val="00435E01"/>
    <w:rsid w:val="00447758"/>
    <w:rsid w:val="00487FF2"/>
    <w:rsid w:val="004F37CF"/>
    <w:rsid w:val="00501876"/>
    <w:rsid w:val="00503E17"/>
    <w:rsid w:val="00513284"/>
    <w:rsid w:val="00560A91"/>
    <w:rsid w:val="005624CF"/>
    <w:rsid w:val="005638F6"/>
    <w:rsid w:val="005666B1"/>
    <w:rsid w:val="00567A04"/>
    <w:rsid w:val="00580409"/>
    <w:rsid w:val="005A49BC"/>
    <w:rsid w:val="005C1F85"/>
    <w:rsid w:val="005C4C1B"/>
    <w:rsid w:val="005F0792"/>
    <w:rsid w:val="005F1EBB"/>
    <w:rsid w:val="00630D70"/>
    <w:rsid w:val="006320C9"/>
    <w:rsid w:val="00645AED"/>
    <w:rsid w:val="00656E64"/>
    <w:rsid w:val="00657972"/>
    <w:rsid w:val="00664A78"/>
    <w:rsid w:val="0068136A"/>
    <w:rsid w:val="006826F6"/>
    <w:rsid w:val="006842C2"/>
    <w:rsid w:val="00697FC6"/>
    <w:rsid w:val="006A4C99"/>
    <w:rsid w:val="006D5A54"/>
    <w:rsid w:val="00703D9A"/>
    <w:rsid w:val="00705696"/>
    <w:rsid w:val="00745C19"/>
    <w:rsid w:val="00765B0A"/>
    <w:rsid w:val="00782648"/>
    <w:rsid w:val="007856E4"/>
    <w:rsid w:val="00791723"/>
    <w:rsid w:val="007D4E51"/>
    <w:rsid w:val="007D6F79"/>
    <w:rsid w:val="00811596"/>
    <w:rsid w:val="00816EF5"/>
    <w:rsid w:val="00823697"/>
    <w:rsid w:val="008274A7"/>
    <w:rsid w:val="00833F5E"/>
    <w:rsid w:val="0084375D"/>
    <w:rsid w:val="00857691"/>
    <w:rsid w:val="00862089"/>
    <w:rsid w:val="00873C36"/>
    <w:rsid w:val="00873F1A"/>
    <w:rsid w:val="009060C2"/>
    <w:rsid w:val="00917642"/>
    <w:rsid w:val="00932587"/>
    <w:rsid w:val="00942BB3"/>
    <w:rsid w:val="00973FB8"/>
    <w:rsid w:val="00980753"/>
    <w:rsid w:val="00996EBB"/>
    <w:rsid w:val="009A211F"/>
    <w:rsid w:val="009B22F6"/>
    <w:rsid w:val="009B277E"/>
    <w:rsid w:val="009D7E81"/>
    <w:rsid w:val="009E5420"/>
    <w:rsid w:val="00A27ECF"/>
    <w:rsid w:val="00A348F0"/>
    <w:rsid w:val="00A4418B"/>
    <w:rsid w:val="00A466AC"/>
    <w:rsid w:val="00A53F96"/>
    <w:rsid w:val="00A60861"/>
    <w:rsid w:val="00A66A40"/>
    <w:rsid w:val="00A71D5A"/>
    <w:rsid w:val="00A73799"/>
    <w:rsid w:val="00A87BAB"/>
    <w:rsid w:val="00A93FEA"/>
    <w:rsid w:val="00A9707B"/>
    <w:rsid w:val="00AB2075"/>
    <w:rsid w:val="00AD1F52"/>
    <w:rsid w:val="00B115AD"/>
    <w:rsid w:val="00B143E7"/>
    <w:rsid w:val="00B46405"/>
    <w:rsid w:val="00B66692"/>
    <w:rsid w:val="00BA0FE2"/>
    <w:rsid w:val="00BB0871"/>
    <w:rsid w:val="00BD11B2"/>
    <w:rsid w:val="00BE626C"/>
    <w:rsid w:val="00BF10E2"/>
    <w:rsid w:val="00C003CA"/>
    <w:rsid w:val="00C26EEE"/>
    <w:rsid w:val="00C34749"/>
    <w:rsid w:val="00C35689"/>
    <w:rsid w:val="00C642F2"/>
    <w:rsid w:val="00C84F05"/>
    <w:rsid w:val="00CA31C7"/>
    <w:rsid w:val="00D2144C"/>
    <w:rsid w:val="00D81318"/>
    <w:rsid w:val="00D8694B"/>
    <w:rsid w:val="00D97A6F"/>
    <w:rsid w:val="00DE32E5"/>
    <w:rsid w:val="00DF1D48"/>
    <w:rsid w:val="00E0370E"/>
    <w:rsid w:val="00E24D4C"/>
    <w:rsid w:val="00E30E44"/>
    <w:rsid w:val="00E32A6B"/>
    <w:rsid w:val="00E464F5"/>
    <w:rsid w:val="00E86147"/>
    <w:rsid w:val="00E91794"/>
    <w:rsid w:val="00E92240"/>
    <w:rsid w:val="00EB6C5B"/>
    <w:rsid w:val="00EB7602"/>
    <w:rsid w:val="00ED1397"/>
    <w:rsid w:val="00EE4155"/>
    <w:rsid w:val="00EF3BDF"/>
    <w:rsid w:val="00EF6DDD"/>
    <w:rsid w:val="00F254AB"/>
    <w:rsid w:val="00F34F86"/>
    <w:rsid w:val="00F40FF5"/>
    <w:rsid w:val="00F63514"/>
    <w:rsid w:val="00F64AEE"/>
    <w:rsid w:val="00F658B5"/>
    <w:rsid w:val="00F83EB7"/>
    <w:rsid w:val="00FC0F4D"/>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51237"/>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8479">
      <w:bodyDiv w:val="1"/>
      <w:marLeft w:val="0"/>
      <w:marRight w:val="0"/>
      <w:marTop w:val="0"/>
      <w:marBottom w:val="0"/>
      <w:divBdr>
        <w:top w:val="none" w:sz="0" w:space="0" w:color="auto"/>
        <w:left w:val="none" w:sz="0" w:space="0" w:color="auto"/>
        <w:bottom w:val="none" w:sz="0" w:space="0" w:color="auto"/>
        <w:right w:val="none" w:sz="0" w:space="0" w:color="auto"/>
      </w:divBdr>
    </w:div>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123815408">
      <w:bodyDiv w:val="1"/>
      <w:marLeft w:val="0"/>
      <w:marRight w:val="0"/>
      <w:marTop w:val="0"/>
      <w:marBottom w:val="0"/>
      <w:divBdr>
        <w:top w:val="none" w:sz="0" w:space="0" w:color="auto"/>
        <w:left w:val="none" w:sz="0" w:space="0" w:color="auto"/>
        <w:bottom w:val="none" w:sz="0" w:space="0" w:color="auto"/>
        <w:right w:val="none" w:sz="0" w:space="0" w:color="auto"/>
      </w:divBdr>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10</cp:revision>
  <cp:lastPrinted>2019-04-01T17:05:00Z</cp:lastPrinted>
  <dcterms:created xsi:type="dcterms:W3CDTF">2019-11-14T18:48:00Z</dcterms:created>
  <dcterms:modified xsi:type="dcterms:W3CDTF">2019-12-02T17:48:00Z</dcterms:modified>
</cp:coreProperties>
</file>