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9A12" w14:textId="6FA9C147" w:rsidR="00A50DD7" w:rsidRDefault="00501278" w:rsidP="00EB35BA">
      <w:r w:rsidRPr="00501278">
        <w:rPr>
          <w:b/>
          <w:bCs/>
        </w:rPr>
        <w:t>Example 19.1:</w:t>
      </w:r>
      <w:r>
        <w:t xml:space="preserve"> A</w:t>
      </w:r>
      <w:r w:rsidR="00212BFA">
        <w:t>n eight-lane divided highway is to be constructed on a new alignment. Traffic volume forecasts indicate that the average annual daily traffic (AADT) in both directions during the first year of operation will be 12,000, with the following vehicle mix and axle loads.</w:t>
      </w:r>
    </w:p>
    <w:p w14:paraId="5E68A665" w14:textId="214DCD90" w:rsidR="00212BFA" w:rsidRDefault="00212BFA" w:rsidP="00EB35BA">
      <w:r>
        <w:tab/>
        <w:t>Passenger cars (2000 Ib/axle) = 50%</w:t>
      </w:r>
    </w:p>
    <w:p w14:paraId="35421C37" w14:textId="6E8A52A0" w:rsidR="00212BFA" w:rsidRDefault="00212BFA" w:rsidP="00EB35BA">
      <w:r>
        <w:tab/>
        <w:t>2-axle single-unit trucks (6000 Ib/axle) = 33%</w:t>
      </w:r>
    </w:p>
    <w:p w14:paraId="4B90A468" w14:textId="3B508FE8" w:rsidR="00212BFA" w:rsidRDefault="00212BFA" w:rsidP="00EB35BA">
      <w:r>
        <w:tab/>
        <w:t>3-axle single-unit trucks (10,000 Ib/axle) = 17%</w:t>
      </w:r>
    </w:p>
    <w:p w14:paraId="1CAD96BE" w14:textId="4A7CBA3C" w:rsidR="00212BFA" w:rsidRDefault="00212BFA" w:rsidP="00EB35BA"/>
    <w:p w14:paraId="31228D79" w14:textId="77777777" w:rsidR="00BB6263" w:rsidRDefault="00212BFA" w:rsidP="00EB35BA">
      <w:pPr>
        <w:sectPr w:rsidR="00BB6263" w:rsidSect="001A01D0">
          <w:headerReference w:type="default" r:id="rId8"/>
          <w:footerReference w:type="default" r:id="rId9"/>
          <w:pgSz w:w="12240" w:h="15840" w:code="1"/>
          <w:pgMar w:top="1440" w:right="1440" w:bottom="540" w:left="1440" w:header="720" w:footer="720" w:gutter="0"/>
          <w:cols w:space="720"/>
          <w:docGrid w:linePitch="360"/>
        </w:sectPr>
      </w:pPr>
      <w:r>
        <w:tab/>
        <w:t>The vehicle mix is expected to remain the same throughout the design life of the pavement. If the expected annual growth rate is 4% for all vehicles, determine the design ESAL, given a design period of 20 years. The percent of traffic on the design lane is 45%, the pavement has a terminal serviceability index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 xml:space="preserve"> </m:t>
        </m:r>
      </m:oMath>
      <w:r>
        <w:t>) of 2.5 and NS of 5.</w:t>
      </w:r>
    </w:p>
    <w:p w14:paraId="70B2679F" w14:textId="424B128B" w:rsidR="00501278" w:rsidRDefault="00501278" w:rsidP="00501278">
      <w:r w:rsidRPr="00501278">
        <w:rPr>
          <w:b/>
          <w:bCs/>
        </w:rPr>
        <w:lastRenderedPageBreak/>
        <w:t>Example 19</w:t>
      </w:r>
      <w:bookmarkStart w:id="0" w:name="_GoBack"/>
      <w:bookmarkEnd w:id="0"/>
      <w:r w:rsidRPr="00501278">
        <w:rPr>
          <w:b/>
          <w:bCs/>
        </w:rPr>
        <w:t>.</w:t>
      </w:r>
      <w:r w:rsidR="00212BFA">
        <w:rPr>
          <w:b/>
          <w:bCs/>
        </w:rPr>
        <w:t>2</w:t>
      </w:r>
      <w:r w:rsidRPr="00501278">
        <w:rPr>
          <w:b/>
          <w:bCs/>
        </w:rPr>
        <w:t>:</w:t>
      </w:r>
      <w:r>
        <w:t xml:space="preserve"> </w:t>
      </w:r>
      <w:r w:rsidR="00212BFA">
        <w:t xml:space="preserve">Figure 19.8 shows roadbed soil resilient modulus </w:t>
      </w:r>
      <m:oMath>
        <m:sSub>
          <m:sSubPr>
            <m:ctrlPr>
              <w:rPr>
                <w:rFonts w:ascii="Cambria Math" w:hAnsi="Cambria Math"/>
                <w:i/>
              </w:rPr>
            </m:ctrlPr>
          </m:sSubPr>
          <m:e>
            <m:r>
              <w:rPr>
                <w:rFonts w:ascii="Cambria Math" w:hAnsi="Cambria Math"/>
              </w:rPr>
              <m:t>M</m:t>
            </m:r>
          </m:e>
          <m:sub>
            <m:r>
              <w:rPr>
                <w:rFonts w:ascii="Cambria Math" w:hAnsi="Cambria Math"/>
              </w:rPr>
              <m:t>r</m:t>
            </m:r>
          </m:sub>
        </m:sSub>
      </m:oMath>
      <w:r w:rsidR="00212BFA">
        <w:t xml:space="preserve">   for each month estimated from laboratory results correlating </w:t>
      </w:r>
      <m:oMath>
        <m:sSub>
          <m:sSubPr>
            <m:ctrlPr>
              <w:rPr>
                <w:rFonts w:ascii="Cambria Math" w:hAnsi="Cambria Math"/>
                <w:i/>
              </w:rPr>
            </m:ctrlPr>
          </m:sSubPr>
          <m:e>
            <m:r>
              <w:rPr>
                <w:rFonts w:ascii="Cambria Math" w:hAnsi="Cambria Math"/>
              </w:rPr>
              <m:t>M</m:t>
            </m:r>
          </m:e>
          <m:sub>
            <m:r>
              <w:rPr>
                <w:rFonts w:ascii="Cambria Math" w:hAnsi="Cambria Math"/>
              </w:rPr>
              <m:t>r</m:t>
            </m:r>
          </m:sub>
        </m:sSub>
      </m:oMath>
      <w:r w:rsidR="00212BFA">
        <w:t xml:space="preserve">  with moisture content. Determine the effective resilient modulus of the subgrade.</w:t>
      </w:r>
    </w:p>
    <w:p w14:paraId="55133A0F" w14:textId="77777777" w:rsidR="00D41953" w:rsidRDefault="00D41953" w:rsidP="00501278"/>
    <w:p w14:paraId="56AC1602" w14:textId="77777777" w:rsidR="00BB6263" w:rsidRDefault="00212BFA" w:rsidP="00F85496">
      <w:pPr>
        <w:sectPr w:rsidR="00BB6263" w:rsidSect="001A01D0">
          <w:pgSz w:w="12240" w:h="15840" w:code="1"/>
          <w:pgMar w:top="1440" w:right="1440" w:bottom="540" w:left="1440" w:header="720" w:footer="720" w:gutter="0"/>
          <w:cols w:space="720"/>
          <w:docGrid w:linePitch="360"/>
        </w:sectPr>
      </w:pPr>
      <w:r>
        <w:rPr>
          <w:noProof/>
        </w:rPr>
        <w:drawing>
          <wp:inline distT="0" distB="0" distL="0" distR="0" wp14:anchorId="5F0B49E0" wp14:editId="0B54C42C">
            <wp:extent cx="4813300" cy="5118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300" cy="5118100"/>
                    </a:xfrm>
                    <a:prstGeom prst="rect">
                      <a:avLst/>
                    </a:prstGeom>
                    <a:noFill/>
                    <a:ln>
                      <a:noFill/>
                    </a:ln>
                  </pic:spPr>
                </pic:pic>
              </a:graphicData>
            </a:graphic>
          </wp:inline>
        </w:drawing>
      </w:r>
    </w:p>
    <w:p w14:paraId="73A7126E" w14:textId="096C2D40" w:rsidR="00501278" w:rsidRPr="00674A84" w:rsidRDefault="00501278" w:rsidP="00501278">
      <w:r w:rsidRPr="00501278">
        <w:rPr>
          <w:b/>
          <w:bCs/>
        </w:rPr>
        <w:lastRenderedPageBreak/>
        <w:t>Example 19.</w:t>
      </w:r>
      <w:r w:rsidR="00212BFA">
        <w:rPr>
          <w:b/>
          <w:bCs/>
        </w:rPr>
        <w:t>3</w:t>
      </w:r>
      <w:r w:rsidRPr="00501278">
        <w:rPr>
          <w:b/>
          <w:bCs/>
        </w:rPr>
        <w:t>:</w:t>
      </w:r>
      <w:r>
        <w:t xml:space="preserve"> </w:t>
      </w:r>
      <w:r w:rsidR="00674A84">
        <w:t>A flexible pavement for an urban interstate highway is to be designed using the 1993 AASHTO guide procedure to carry a design ESAL of 2x10</w:t>
      </w:r>
      <w:r w:rsidR="00674A84" w:rsidRPr="00674A84">
        <w:rPr>
          <w:vertAlign w:val="superscript"/>
        </w:rPr>
        <w:t>6</w:t>
      </w:r>
      <w:r w:rsidR="00674A84">
        <w:t>. It is estimated that it takes about a week for water to be drained from withing the pavement, and the pavement structure will be exposed to moisture levels approaching saturation for 30 % of the time. The following additional information is available:</w:t>
      </w:r>
    </w:p>
    <w:p w14:paraId="49A5AB3D" w14:textId="4A16F37C" w:rsidR="00501278" w:rsidRDefault="00674A84" w:rsidP="00F85496">
      <w:pPr>
        <w:rPr>
          <w:vertAlign w:val="superscript"/>
        </w:rPr>
      </w:pPr>
      <w:r>
        <w:tab/>
        <w:t>Resilient modulus of asphalt concrete at 68</w:t>
      </w:r>
      <w:r w:rsidRPr="00674A84">
        <w:rPr>
          <w:vertAlign w:val="superscript"/>
        </w:rPr>
        <w:t>0</w:t>
      </w:r>
      <w:r>
        <w:t>F=450,000 Ib/in</w:t>
      </w:r>
      <w:r w:rsidRPr="00674A84">
        <w:rPr>
          <w:vertAlign w:val="superscript"/>
        </w:rPr>
        <w:t>2</w:t>
      </w:r>
    </w:p>
    <w:p w14:paraId="6D87B489" w14:textId="6EB1DAC0" w:rsidR="00674A84" w:rsidRDefault="00674A84" w:rsidP="00F85496">
      <w:r w:rsidRPr="00674A84">
        <w:tab/>
        <w:t>CBR</w:t>
      </w:r>
      <w:r>
        <w:t xml:space="preserve"> value of base course material = 100, </w:t>
      </w:r>
      <m:oMath>
        <m:sSub>
          <m:sSubPr>
            <m:ctrlPr>
              <w:rPr>
                <w:rFonts w:ascii="Cambria Math" w:hAnsi="Cambria Math"/>
                <w:i/>
                <w:iCs/>
              </w:rPr>
            </m:ctrlPr>
          </m:sSubPr>
          <m:e>
            <m:r>
              <w:rPr>
                <w:rFonts w:ascii="Cambria Math" w:hAnsi="Cambria Math"/>
              </w:rPr>
              <m:t>M</m:t>
            </m:r>
          </m:e>
          <m:sub>
            <m:r>
              <w:rPr>
                <w:rFonts w:ascii="Cambria Math" w:hAnsi="Cambria Math"/>
              </w:rPr>
              <m:t>r</m:t>
            </m:r>
          </m:sub>
        </m:sSub>
      </m:oMath>
      <w:r w:rsidR="00FC307C">
        <w:t xml:space="preserve">  </w:t>
      </w:r>
      <w:r>
        <w:t>=31,000 Ib/in</w:t>
      </w:r>
      <w:r w:rsidRPr="00FC307C">
        <w:rPr>
          <w:vertAlign w:val="superscript"/>
        </w:rPr>
        <w:t>2</w:t>
      </w:r>
    </w:p>
    <w:p w14:paraId="625EFF42" w14:textId="11028E9B" w:rsidR="00674A84" w:rsidRDefault="00674A84" w:rsidP="00F85496">
      <w:r>
        <w:tab/>
        <w:t xml:space="preserve">CBR value of subbase course material = 22, </w:t>
      </w:r>
      <m:oMath>
        <m:sSub>
          <m:sSubPr>
            <m:ctrlPr>
              <w:rPr>
                <w:rFonts w:ascii="Cambria Math" w:hAnsi="Cambria Math"/>
                <w:i/>
                <w:iCs/>
              </w:rPr>
            </m:ctrlPr>
          </m:sSubPr>
          <m:e>
            <m:r>
              <w:rPr>
                <w:rFonts w:ascii="Cambria Math" w:hAnsi="Cambria Math"/>
              </w:rPr>
              <m:t>M</m:t>
            </m:r>
          </m:e>
          <m:sub>
            <m:r>
              <w:rPr>
                <w:rFonts w:ascii="Cambria Math" w:hAnsi="Cambria Math"/>
              </w:rPr>
              <m:t>r</m:t>
            </m:r>
          </m:sub>
        </m:sSub>
      </m:oMath>
      <w:r w:rsidR="00FC307C">
        <w:t xml:space="preserve">  </w:t>
      </w:r>
      <w:r>
        <w:t>=13,500 IB/in</w:t>
      </w:r>
      <w:r w:rsidRPr="00FC307C">
        <w:rPr>
          <w:vertAlign w:val="superscript"/>
        </w:rPr>
        <w:t>2</w:t>
      </w:r>
    </w:p>
    <w:p w14:paraId="6CEC3635" w14:textId="5255B2C1" w:rsidR="00674A84" w:rsidRDefault="00674A84" w:rsidP="00FC307C">
      <w:pPr>
        <w:ind w:firstLine="720"/>
      </w:pPr>
      <w:r>
        <w:t>CBR value of subgrade material = 6</w:t>
      </w:r>
    </w:p>
    <w:p w14:paraId="64C92D47" w14:textId="77777777" w:rsidR="00BB6263" w:rsidRDefault="00674A84" w:rsidP="00F85496">
      <w:pPr>
        <w:rPr>
          <w:vertAlign w:val="superscript"/>
        </w:rPr>
        <w:sectPr w:rsidR="00BB6263" w:rsidSect="001A01D0">
          <w:pgSz w:w="12240" w:h="15840" w:code="1"/>
          <w:pgMar w:top="1440" w:right="1440" w:bottom="540" w:left="1440" w:header="720" w:footer="720" w:gutter="0"/>
          <w:cols w:space="720"/>
          <w:docGrid w:linePitch="360"/>
        </w:sectPr>
      </w:pPr>
      <w:r>
        <w:t xml:space="preserve">Determine a suitable pavement structure, </w:t>
      </w:r>
      <m:oMath>
        <m:sSub>
          <m:sSubPr>
            <m:ctrlPr>
              <w:rPr>
                <w:rFonts w:ascii="Cambria Math" w:hAnsi="Cambria Math"/>
                <w:i/>
                <w:iCs/>
              </w:rPr>
            </m:ctrlPr>
          </m:sSubPr>
          <m:e>
            <m:r>
              <w:rPr>
                <w:rFonts w:ascii="Cambria Math" w:hAnsi="Cambria Math"/>
              </w:rPr>
              <m:t>M</m:t>
            </m:r>
          </m:e>
          <m:sub>
            <m:r>
              <w:rPr>
                <w:rFonts w:ascii="Cambria Math" w:hAnsi="Cambria Math"/>
              </w:rPr>
              <m:t>r</m:t>
            </m:r>
          </m:sub>
        </m:sSub>
      </m:oMath>
      <w:r w:rsidR="00FC307C">
        <w:t xml:space="preserve">  </w:t>
      </w:r>
      <w:r>
        <w:t>of subgrade = 6x1500 Ib/in2 = 9000 Ib/in</w:t>
      </w:r>
      <w:r w:rsidRPr="00FC307C">
        <w:rPr>
          <w:vertAlign w:val="superscript"/>
        </w:rPr>
        <w:t>2</w:t>
      </w:r>
    </w:p>
    <w:p w14:paraId="560DEA00" w14:textId="754E508D" w:rsidR="003F3206" w:rsidRDefault="003F3206" w:rsidP="00F85496">
      <w:r w:rsidRPr="00501278">
        <w:rPr>
          <w:b/>
          <w:bCs/>
        </w:rPr>
        <w:lastRenderedPageBreak/>
        <w:t xml:space="preserve">Example </w:t>
      </w:r>
      <w:r>
        <w:rPr>
          <w:b/>
          <w:bCs/>
        </w:rPr>
        <w:t>20.1</w:t>
      </w:r>
      <w:r w:rsidRPr="00501278">
        <w:rPr>
          <w:b/>
          <w:bCs/>
        </w:rPr>
        <w:t>:</w:t>
      </w:r>
      <w:r>
        <w:rPr>
          <w:b/>
          <w:bCs/>
        </w:rPr>
        <w:t xml:space="preserve"> </w:t>
      </w:r>
      <w:r w:rsidRPr="003F3206">
        <w:t>Determine</w:t>
      </w:r>
      <w:r>
        <w:t xml:space="preserve"> the tensile stress imposed by a semicircular wheel load of 900 Ib imposed during the day and located at the edge of a concrete pavement with </w:t>
      </w:r>
      <w:r w:rsidR="00BB6263">
        <w:t>the following</w:t>
      </w:r>
      <w:r>
        <w:t xml:space="preserve"> dimensions and properties: a) by using the Westergaard equation and b) by using the Ioannides equation.</w:t>
      </w:r>
    </w:p>
    <w:p w14:paraId="0B1F7B43" w14:textId="4CA31F46" w:rsidR="003F3206" w:rsidRDefault="003F3206" w:rsidP="00F85496">
      <w:r>
        <w:tab/>
        <w:t>Pavement thickness = 6 in.</w:t>
      </w:r>
    </w:p>
    <w:p w14:paraId="28F3A848" w14:textId="697FF78A" w:rsidR="003F3206" w:rsidRPr="003F3206" w:rsidRDefault="003F3206" w:rsidP="00F85496">
      <w:r>
        <w:tab/>
      </w:r>
      <m:oMath>
        <m:r>
          <w:rPr>
            <w:rFonts w:ascii="Cambria Math" w:hAnsi="Cambria Math"/>
          </w:rPr>
          <m:t>μ=0.15</m:t>
        </m:r>
      </m:oMath>
    </w:p>
    <w:p w14:paraId="6D484ECF" w14:textId="6EDC0629" w:rsidR="003F3206" w:rsidRDefault="003F3206" w:rsidP="00F85496">
      <w:r>
        <w:tab/>
        <w:t>E=5x10</w:t>
      </w:r>
      <w:r w:rsidRPr="003F3206">
        <w:rPr>
          <w:vertAlign w:val="superscript"/>
        </w:rPr>
        <w:t>6</w:t>
      </w:r>
      <w:r>
        <w:t xml:space="preserve"> Ib/in</w:t>
      </w:r>
      <w:r w:rsidRPr="003F3206">
        <w:rPr>
          <w:vertAlign w:val="superscript"/>
        </w:rPr>
        <w:t>2</w:t>
      </w:r>
    </w:p>
    <w:p w14:paraId="09E53BCC" w14:textId="1C68B0E4" w:rsidR="003F3206" w:rsidRDefault="003F3206" w:rsidP="00F85496">
      <w:pPr>
        <w:rPr>
          <w:vertAlign w:val="superscript"/>
        </w:rPr>
      </w:pPr>
      <w:r>
        <w:tab/>
        <w:t>K=130 In/in</w:t>
      </w:r>
      <w:r w:rsidRPr="003F3206">
        <w:rPr>
          <w:vertAlign w:val="superscript"/>
        </w:rPr>
        <w:t>3</w:t>
      </w:r>
    </w:p>
    <w:p w14:paraId="7756CB87" w14:textId="1025E18D" w:rsidR="003F3206" w:rsidRPr="003F3206" w:rsidRDefault="003F3206" w:rsidP="00F85496">
      <w:r>
        <w:tab/>
        <w:t>Radius of loaded area = 3 in.</w:t>
      </w:r>
    </w:p>
    <w:p w14:paraId="7E56D0B2" w14:textId="6391348C" w:rsidR="00F85496" w:rsidRPr="00F85496" w:rsidRDefault="00F85496" w:rsidP="00F85496">
      <w:pPr>
        <w:tabs>
          <w:tab w:val="left" w:pos="1820"/>
        </w:tabs>
      </w:pPr>
      <w:r>
        <w:tab/>
      </w:r>
    </w:p>
    <w:sectPr w:rsidR="00F85496" w:rsidRPr="00F85496"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1F0C" w14:textId="77777777" w:rsidR="002C624A" w:rsidRDefault="002C624A">
      <w:r>
        <w:separator/>
      </w:r>
    </w:p>
  </w:endnote>
  <w:endnote w:type="continuationSeparator" w:id="0">
    <w:p w14:paraId="59FCFBEF" w14:textId="77777777" w:rsidR="002C624A" w:rsidRDefault="002C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A470" w14:textId="30AF0CC8" w:rsidR="00C26427" w:rsidRDefault="00C26427" w:rsidP="00C26427">
    <w:pPr>
      <w:pStyle w:val="Footer"/>
      <w:jc w:val="right"/>
    </w:pPr>
    <w:r>
      <w:t>Instructor: Dr. Promothes Saha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2FE4" w14:textId="77777777" w:rsidR="002C624A" w:rsidRDefault="002C624A">
      <w:r>
        <w:separator/>
      </w:r>
    </w:p>
  </w:footnote>
  <w:footnote w:type="continuationSeparator" w:id="0">
    <w:p w14:paraId="754B8895" w14:textId="77777777" w:rsidR="002C624A" w:rsidRDefault="002C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622B" w14:textId="66D0C132" w:rsidR="00C26427" w:rsidRPr="00F87872" w:rsidRDefault="00C26427">
    <w:pPr>
      <w:pStyle w:val="Header"/>
      <w:rPr>
        <w:i/>
        <w:iCs/>
        <w:sz w:val="22"/>
      </w:rPr>
    </w:pPr>
    <w:r w:rsidRPr="00F87872">
      <w:rPr>
        <w:i/>
        <w:iCs/>
        <w:sz w:val="22"/>
      </w:rPr>
      <w:t xml:space="preserve">CE 34500: Transportation Engineering                 </w:t>
    </w:r>
    <w:r w:rsidR="00F87872" w:rsidRPr="00F87872">
      <w:rPr>
        <w:i/>
        <w:iCs/>
        <w:sz w:val="22"/>
      </w:rPr>
      <w:t xml:space="preserve">    Chapter </w:t>
    </w:r>
    <w:r w:rsidR="009F3DE3">
      <w:rPr>
        <w:i/>
        <w:iCs/>
        <w:sz w:val="22"/>
      </w:rPr>
      <w:t>19: Design of flexible Highway Pavements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3E39"/>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4DA7"/>
    <w:multiLevelType w:val="hybridMultilevel"/>
    <w:tmpl w:val="E39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49C"/>
    <w:multiLevelType w:val="hybridMultilevel"/>
    <w:tmpl w:val="398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1E0F"/>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393"/>
    <w:multiLevelType w:val="hybridMultilevel"/>
    <w:tmpl w:val="021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78E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658"/>
    <w:multiLevelType w:val="hybridMultilevel"/>
    <w:tmpl w:val="142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23"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A5F3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22"/>
  </w:num>
  <w:num w:numId="5">
    <w:abstractNumId w:val="11"/>
  </w:num>
  <w:num w:numId="6">
    <w:abstractNumId w:val="16"/>
  </w:num>
  <w:num w:numId="7">
    <w:abstractNumId w:val="1"/>
  </w:num>
  <w:num w:numId="8">
    <w:abstractNumId w:val="23"/>
  </w:num>
  <w:num w:numId="9">
    <w:abstractNumId w:val="6"/>
  </w:num>
  <w:num w:numId="10">
    <w:abstractNumId w:val="12"/>
  </w:num>
  <w:num w:numId="11">
    <w:abstractNumId w:val="0"/>
  </w:num>
  <w:num w:numId="12">
    <w:abstractNumId w:val="10"/>
  </w:num>
  <w:num w:numId="13">
    <w:abstractNumId w:val="7"/>
  </w:num>
  <w:num w:numId="14">
    <w:abstractNumId w:val="2"/>
  </w:num>
  <w:num w:numId="15">
    <w:abstractNumId w:val="18"/>
  </w:num>
  <w:num w:numId="16">
    <w:abstractNumId w:val="19"/>
  </w:num>
  <w:num w:numId="17">
    <w:abstractNumId w:val="13"/>
  </w:num>
  <w:num w:numId="18">
    <w:abstractNumId w:val="15"/>
  </w:num>
  <w:num w:numId="19">
    <w:abstractNumId w:val="4"/>
  </w:num>
  <w:num w:numId="20">
    <w:abstractNumId w:val="24"/>
  </w:num>
  <w:num w:numId="21">
    <w:abstractNumId w:val="3"/>
  </w:num>
  <w:num w:numId="22">
    <w:abstractNumId w:val="14"/>
  </w:num>
  <w:num w:numId="23">
    <w:abstractNumId w:val="2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E5"/>
    <w:rsid w:val="00011055"/>
    <w:rsid w:val="00026F13"/>
    <w:rsid w:val="000367E1"/>
    <w:rsid w:val="000475D9"/>
    <w:rsid w:val="00084FAE"/>
    <w:rsid w:val="00085433"/>
    <w:rsid w:val="00091D34"/>
    <w:rsid w:val="000946D4"/>
    <w:rsid w:val="000A50E3"/>
    <w:rsid w:val="000A7991"/>
    <w:rsid w:val="000B69B3"/>
    <w:rsid w:val="000C1FA8"/>
    <w:rsid w:val="000C2662"/>
    <w:rsid w:val="000D14C7"/>
    <w:rsid w:val="000D3391"/>
    <w:rsid w:val="000D7317"/>
    <w:rsid w:val="000E1411"/>
    <w:rsid w:val="000E3F2E"/>
    <w:rsid w:val="000E4D24"/>
    <w:rsid w:val="001149D5"/>
    <w:rsid w:val="00124337"/>
    <w:rsid w:val="00124C8A"/>
    <w:rsid w:val="00130060"/>
    <w:rsid w:val="00135761"/>
    <w:rsid w:val="00157EA8"/>
    <w:rsid w:val="001A01D0"/>
    <w:rsid w:val="001A1B8C"/>
    <w:rsid w:val="001A7355"/>
    <w:rsid w:val="001C57E6"/>
    <w:rsid w:val="00200538"/>
    <w:rsid w:val="00212BFA"/>
    <w:rsid w:val="00215740"/>
    <w:rsid w:val="002248B0"/>
    <w:rsid w:val="00251060"/>
    <w:rsid w:val="00265082"/>
    <w:rsid w:val="00280617"/>
    <w:rsid w:val="00280CED"/>
    <w:rsid w:val="00284D38"/>
    <w:rsid w:val="002B5B1F"/>
    <w:rsid w:val="002C624A"/>
    <w:rsid w:val="002D2E5D"/>
    <w:rsid w:val="002D3801"/>
    <w:rsid w:val="002F22F1"/>
    <w:rsid w:val="00316177"/>
    <w:rsid w:val="00317448"/>
    <w:rsid w:val="0032719B"/>
    <w:rsid w:val="00337C17"/>
    <w:rsid w:val="00345046"/>
    <w:rsid w:val="003457F0"/>
    <w:rsid w:val="00352ED2"/>
    <w:rsid w:val="00360604"/>
    <w:rsid w:val="00361F52"/>
    <w:rsid w:val="00362108"/>
    <w:rsid w:val="003726D9"/>
    <w:rsid w:val="003A702C"/>
    <w:rsid w:val="003C5586"/>
    <w:rsid w:val="003D358A"/>
    <w:rsid w:val="003E38AC"/>
    <w:rsid w:val="003F01A8"/>
    <w:rsid w:val="003F3206"/>
    <w:rsid w:val="003F76C0"/>
    <w:rsid w:val="00400057"/>
    <w:rsid w:val="0042124C"/>
    <w:rsid w:val="00435E01"/>
    <w:rsid w:val="00447758"/>
    <w:rsid w:val="00461332"/>
    <w:rsid w:val="00470997"/>
    <w:rsid w:val="00487FF2"/>
    <w:rsid w:val="004F37CF"/>
    <w:rsid w:val="00501278"/>
    <w:rsid w:val="00501876"/>
    <w:rsid w:val="00503E17"/>
    <w:rsid w:val="00513284"/>
    <w:rsid w:val="0052306A"/>
    <w:rsid w:val="00537164"/>
    <w:rsid w:val="00556100"/>
    <w:rsid w:val="00560A91"/>
    <w:rsid w:val="005624CF"/>
    <w:rsid w:val="005638F6"/>
    <w:rsid w:val="005666B1"/>
    <w:rsid w:val="00567A04"/>
    <w:rsid w:val="00570CFB"/>
    <w:rsid w:val="00580409"/>
    <w:rsid w:val="00584874"/>
    <w:rsid w:val="005A6689"/>
    <w:rsid w:val="005C1F85"/>
    <w:rsid w:val="005C4C1B"/>
    <w:rsid w:val="005C4D85"/>
    <w:rsid w:val="005E6504"/>
    <w:rsid w:val="005F0792"/>
    <w:rsid w:val="005F1EBB"/>
    <w:rsid w:val="00601344"/>
    <w:rsid w:val="006018BA"/>
    <w:rsid w:val="00630D70"/>
    <w:rsid w:val="006320C9"/>
    <w:rsid w:val="00645AED"/>
    <w:rsid w:val="00656E64"/>
    <w:rsid w:val="00657972"/>
    <w:rsid w:val="0066002E"/>
    <w:rsid w:val="00664A78"/>
    <w:rsid w:val="00674A84"/>
    <w:rsid w:val="006811DE"/>
    <w:rsid w:val="0068136A"/>
    <w:rsid w:val="006826F6"/>
    <w:rsid w:val="006827C5"/>
    <w:rsid w:val="006842C2"/>
    <w:rsid w:val="00697FC6"/>
    <w:rsid w:val="006A4C99"/>
    <w:rsid w:val="006D5A54"/>
    <w:rsid w:val="00702484"/>
    <w:rsid w:val="00703D9A"/>
    <w:rsid w:val="00705678"/>
    <w:rsid w:val="00705696"/>
    <w:rsid w:val="00745C19"/>
    <w:rsid w:val="00782648"/>
    <w:rsid w:val="007856E4"/>
    <w:rsid w:val="00791723"/>
    <w:rsid w:val="007A5F60"/>
    <w:rsid w:val="007D4E51"/>
    <w:rsid w:val="007D6F79"/>
    <w:rsid w:val="007E0FC7"/>
    <w:rsid w:val="00811596"/>
    <w:rsid w:val="00816EF5"/>
    <w:rsid w:val="008274A7"/>
    <w:rsid w:val="00833F5E"/>
    <w:rsid w:val="0084375D"/>
    <w:rsid w:val="008530FD"/>
    <w:rsid w:val="00857691"/>
    <w:rsid w:val="00862089"/>
    <w:rsid w:val="00873C36"/>
    <w:rsid w:val="00873F1A"/>
    <w:rsid w:val="008943D2"/>
    <w:rsid w:val="008D4468"/>
    <w:rsid w:val="009060C2"/>
    <w:rsid w:val="00917642"/>
    <w:rsid w:val="00932587"/>
    <w:rsid w:val="00942BB3"/>
    <w:rsid w:val="00956448"/>
    <w:rsid w:val="00964329"/>
    <w:rsid w:val="00973FB8"/>
    <w:rsid w:val="00980753"/>
    <w:rsid w:val="00981043"/>
    <w:rsid w:val="00985D9A"/>
    <w:rsid w:val="00992D07"/>
    <w:rsid w:val="00996EBB"/>
    <w:rsid w:val="009A211F"/>
    <w:rsid w:val="009B22F6"/>
    <w:rsid w:val="009B277E"/>
    <w:rsid w:val="009B7E32"/>
    <w:rsid w:val="009D7E81"/>
    <w:rsid w:val="009E0E8A"/>
    <w:rsid w:val="009E5420"/>
    <w:rsid w:val="009E5FD7"/>
    <w:rsid w:val="009E7113"/>
    <w:rsid w:val="009F2F6C"/>
    <w:rsid w:val="009F3DE3"/>
    <w:rsid w:val="00A00431"/>
    <w:rsid w:val="00A007BA"/>
    <w:rsid w:val="00A03F2B"/>
    <w:rsid w:val="00A27ECF"/>
    <w:rsid w:val="00A34755"/>
    <w:rsid w:val="00A348F0"/>
    <w:rsid w:val="00A4418B"/>
    <w:rsid w:val="00A466AC"/>
    <w:rsid w:val="00A50DD7"/>
    <w:rsid w:val="00A53F96"/>
    <w:rsid w:val="00A60861"/>
    <w:rsid w:val="00A648FA"/>
    <w:rsid w:val="00A66A40"/>
    <w:rsid w:val="00A71D5A"/>
    <w:rsid w:val="00A87BAB"/>
    <w:rsid w:val="00A93FEA"/>
    <w:rsid w:val="00A9707B"/>
    <w:rsid w:val="00AB2075"/>
    <w:rsid w:val="00AC0716"/>
    <w:rsid w:val="00B115AD"/>
    <w:rsid w:val="00B143E7"/>
    <w:rsid w:val="00B46405"/>
    <w:rsid w:val="00B618CB"/>
    <w:rsid w:val="00B66692"/>
    <w:rsid w:val="00B726A6"/>
    <w:rsid w:val="00B810F5"/>
    <w:rsid w:val="00BA0FE2"/>
    <w:rsid w:val="00BB0871"/>
    <w:rsid w:val="00BB6263"/>
    <w:rsid w:val="00BD11B2"/>
    <w:rsid w:val="00BE3E51"/>
    <w:rsid w:val="00BE4CB5"/>
    <w:rsid w:val="00BE626C"/>
    <w:rsid w:val="00BF10E2"/>
    <w:rsid w:val="00C003CA"/>
    <w:rsid w:val="00C26427"/>
    <w:rsid w:val="00C26EEE"/>
    <w:rsid w:val="00C34749"/>
    <w:rsid w:val="00C35689"/>
    <w:rsid w:val="00C6391C"/>
    <w:rsid w:val="00C642F2"/>
    <w:rsid w:val="00C84F05"/>
    <w:rsid w:val="00CA1284"/>
    <w:rsid w:val="00CA31C7"/>
    <w:rsid w:val="00CB01F5"/>
    <w:rsid w:val="00CE356F"/>
    <w:rsid w:val="00CF5FA0"/>
    <w:rsid w:val="00D1156B"/>
    <w:rsid w:val="00D2144C"/>
    <w:rsid w:val="00D25EA4"/>
    <w:rsid w:val="00D41953"/>
    <w:rsid w:val="00D66EDF"/>
    <w:rsid w:val="00D70EC6"/>
    <w:rsid w:val="00D77DAD"/>
    <w:rsid w:val="00D81318"/>
    <w:rsid w:val="00D8694B"/>
    <w:rsid w:val="00D97A6F"/>
    <w:rsid w:val="00DE32E5"/>
    <w:rsid w:val="00DF1D48"/>
    <w:rsid w:val="00E0370E"/>
    <w:rsid w:val="00E0749B"/>
    <w:rsid w:val="00E178F5"/>
    <w:rsid w:val="00E24D4C"/>
    <w:rsid w:val="00E30E44"/>
    <w:rsid w:val="00E32A6B"/>
    <w:rsid w:val="00E464F5"/>
    <w:rsid w:val="00E57850"/>
    <w:rsid w:val="00E86147"/>
    <w:rsid w:val="00E91794"/>
    <w:rsid w:val="00E92240"/>
    <w:rsid w:val="00E9647A"/>
    <w:rsid w:val="00EB35B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83EB7"/>
    <w:rsid w:val="00F85496"/>
    <w:rsid w:val="00F87872"/>
    <w:rsid w:val="00FC0F4D"/>
    <w:rsid w:val="00FC307C"/>
    <w:rsid w:val="00FD44DC"/>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B3C4-DDE1-4D49-88F7-25F795FC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12</cp:revision>
  <cp:lastPrinted>2019-04-01T17:05:00Z</cp:lastPrinted>
  <dcterms:created xsi:type="dcterms:W3CDTF">2020-02-27T17:19:00Z</dcterms:created>
  <dcterms:modified xsi:type="dcterms:W3CDTF">2020-02-27T18:15:00Z</dcterms:modified>
</cp:coreProperties>
</file>